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4598C" w14:textId="63637D41" w:rsidR="001F1C47" w:rsidRPr="006C6865" w:rsidRDefault="00A34CE6" w:rsidP="00A34CE6">
      <w:pPr>
        <w:spacing w:after="0" w:line="360" w:lineRule="auto"/>
        <w:jc w:val="center"/>
        <w:rPr>
          <w:rFonts w:ascii="Garamond" w:hAnsi="Garamond"/>
          <w:b/>
          <w:bCs/>
          <w:sz w:val="28"/>
          <w:szCs w:val="28"/>
          <w:lang w:val="pt-BR"/>
        </w:rPr>
      </w:pPr>
      <w:r w:rsidRPr="006C6865">
        <w:rPr>
          <w:rFonts w:ascii="Garamond" w:hAnsi="Garamond"/>
          <w:b/>
          <w:bCs/>
          <w:sz w:val="28"/>
          <w:szCs w:val="28"/>
          <w:lang w:val="pt-BR"/>
        </w:rPr>
        <w:t>Perguntas-tipo exame AIPP</w:t>
      </w:r>
    </w:p>
    <w:p w14:paraId="7AC91368" w14:textId="5CE4110D" w:rsidR="00A34CE6" w:rsidRPr="006C6865" w:rsidRDefault="00A34CE6" w:rsidP="00A34CE6">
      <w:pPr>
        <w:spacing w:after="0" w:line="360" w:lineRule="auto"/>
        <w:jc w:val="center"/>
        <w:rPr>
          <w:rFonts w:ascii="Garamond" w:hAnsi="Garamond"/>
          <w:b/>
          <w:bCs/>
          <w:sz w:val="28"/>
          <w:szCs w:val="28"/>
          <w:lang w:val="pt-BR"/>
        </w:rPr>
      </w:pPr>
      <w:r w:rsidRPr="006C6865">
        <w:rPr>
          <w:rFonts w:ascii="Garamond" w:hAnsi="Garamond"/>
          <w:b/>
          <w:bCs/>
          <w:sz w:val="28"/>
          <w:szCs w:val="28"/>
          <w:lang w:val="pt-BR"/>
        </w:rPr>
        <w:t>202</w:t>
      </w:r>
      <w:r w:rsidR="006C6865">
        <w:rPr>
          <w:rFonts w:ascii="Garamond" w:hAnsi="Garamond"/>
          <w:b/>
          <w:bCs/>
          <w:sz w:val="28"/>
          <w:szCs w:val="28"/>
          <w:lang w:val="pt-BR"/>
        </w:rPr>
        <w:t>5</w:t>
      </w:r>
    </w:p>
    <w:p w14:paraId="0ECAC2FA" w14:textId="01631027" w:rsidR="00A34CE6" w:rsidRPr="006C6865" w:rsidRDefault="00A34CE6" w:rsidP="00A34CE6">
      <w:pPr>
        <w:spacing w:after="0" w:line="360" w:lineRule="auto"/>
        <w:jc w:val="both"/>
        <w:rPr>
          <w:rFonts w:ascii="Garamond" w:hAnsi="Garamond"/>
          <w:sz w:val="24"/>
          <w:szCs w:val="24"/>
          <w:lang w:val="pt-BR"/>
        </w:rPr>
      </w:pPr>
    </w:p>
    <w:p w14:paraId="506F6070" w14:textId="5BD39256" w:rsidR="00A34CE6" w:rsidRPr="006C6865" w:rsidRDefault="00A34CE6" w:rsidP="00A34CE6">
      <w:pPr>
        <w:spacing w:after="0" w:line="360" w:lineRule="auto"/>
        <w:jc w:val="both"/>
        <w:rPr>
          <w:rFonts w:ascii="Garamond" w:hAnsi="Garamond"/>
          <w:sz w:val="24"/>
          <w:szCs w:val="24"/>
          <w:lang w:val="pt-BR"/>
        </w:rPr>
      </w:pPr>
    </w:p>
    <w:p w14:paraId="505A55E0" w14:textId="77777777" w:rsidR="00A34CE6" w:rsidRPr="006C6865" w:rsidRDefault="00A34CE6" w:rsidP="00A34CE6">
      <w:pPr>
        <w:spacing w:after="0" w:line="360" w:lineRule="auto"/>
        <w:jc w:val="both"/>
        <w:outlineLvl w:val="2"/>
        <w:rPr>
          <w:rFonts w:ascii="Garamond" w:eastAsia="Times New Roman" w:hAnsi="Garamond" w:cs="Times New Roman"/>
          <w:b/>
          <w:bCs/>
          <w:sz w:val="24"/>
          <w:szCs w:val="24"/>
          <w:lang w:val="pt-BR" w:eastAsia="en-GB"/>
        </w:rPr>
      </w:pPr>
      <w:r w:rsidRPr="006C6865">
        <w:rPr>
          <w:rFonts w:ascii="Garamond" w:eastAsia="Times New Roman" w:hAnsi="Garamond" w:cs="Times New Roman"/>
          <w:b/>
          <w:bCs/>
          <w:sz w:val="24"/>
          <w:szCs w:val="24"/>
          <w:lang w:val="pt-BR" w:eastAsia="en-GB"/>
        </w:rPr>
        <w:t>A. Verdadeiro ou Falso</w:t>
      </w:r>
    </w:p>
    <w:p w14:paraId="349D5EA6" w14:textId="18CE755F" w:rsidR="00A34CE6" w:rsidRPr="006C6865" w:rsidRDefault="00A34CE6" w:rsidP="00A34CE6">
      <w:pPr>
        <w:spacing w:after="0" w:line="360" w:lineRule="auto"/>
        <w:jc w:val="both"/>
        <w:rPr>
          <w:rFonts w:ascii="Garamond" w:eastAsia="Times New Roman" w:hAnsi="Garamond" w:cs="Times New Roman"/>
          <w:sz w:val="24"/>
          <w:szCs w:val="24"/>
          <w:lang w:val="pt-BR" w:eastAsia="en-GB"/>
        </w:rPr>
      </w:pPr>
      <w:r w:rsidRPr="006C6865">
        <w:rPr>
          <w:rFonts w:ascii="Garamond" w:eastAsia="Times New Roman" w:hAnsi="Garamond" w:cs="Times New Roman"/>
          <w:sz w:val="24"/>
          <w:szCs w:val="24"/>
          <w:lang w:val="pt-BR" w:eastAsia="en-GB"/>
        </w:rPr>
        <w:t>Explique a sua resposta com cuidado, pois todo o crédito depende da explicação. A sua nota depende inteiramente do conteúdo da sua justificação, e não de responder “Verdadeiro” ou “Falso”. Note que é possível responder a cada questão para receber a nota completa com três frases ou menos, e respostas com mais de oito linhas não serão avaliadas.</w:t>
      </w:r>
    </w:p>
    <w:p w14:paraId="0F5371ED" w14:textId="77777777" w:rsidR="00A34CE6" w:rsidRPr="006C6865" w:rsidRDefault="00A34CE6" w:rsidP="00A34CE6">
      <w:pPr>
        <w:spacing w:after="0" w:line="360" w:lineRule="auto"/>
        <w:jc w:val="both"/>
        <w:rPr>
          <w:rFonts w:ascii="Garamond" w:eastAsia="Times New Roman" w:hAnsi="Garamond" w:cs="Times New Roman"/>
          <w:sz w:val="24"/>
          <w:szCs w:val="24"/>
          <w:lang w:val="pt-BR" w:eastAsia="en-GB"/>
        </w:rPr>
      </w:pPr>
    </w:p>
    <w:p w14:paraId="71E8A260" w14:textId="0F8EB5FE" w:rsidR="00A34CE6" w:rsidRPr="006C6865" w:rsidRDefault="00A34CE6" w:rsidP="006C6865">
      <w:pPr>
        <w:numPr>
          <w:ilvl w:val="0"/>
          <w:numId w:val="1"/>
        </w:numPr>
        <w:spacing w:after="0" w:line="360" w:lineRule="auto"/>
        <w:jc w:val="both"/>
        <w:rPr>
          <w:rFonts w:ascii="Garamond" w:eastAsia="Times New Roman" w:hAnsi="Garamond" w:cs="Times New Roman"/>
          <w:sz w:val="24"/>
          <w:szCs w:val="24"/>
          <w:lang w:val="pt-BR" w:eastAsia="en-GB"/>
        </w:rPr>
      </w:pPr>
      <w:r w:rsidRPr="006C6865">
        <w:rPr>
          <w:rFonts w:ascii="Garamond" w:eastAsia="Times New Roman" w:hAnsi="Garamond" w:cs="Times New Roman"/>
          <w:sz w:val="24"/>
          <w:szCs w:val="24"/>
          <w:lang w:val="pt-BR" w:eastAsia="en-GB"/>
        </w:rPr>
        <w:t xml:space="preserve">Como o mercado livre oferece resultados eficientes, não há bons fundamentos teóricos para </w:t>
      </w:r>
      <w:r w:rsidR="00A848B1">
        <w:rPr>
          <w:rFonts w:ascii="Garamond" w:eastAsia="Times New Roman" w:hAnsi="Garamond" w:cs="Times New Roman"/>
          <w:sz w:val="24"/>
          <w:szCs w:val="24"/>
          <w:lang w:val="pt-BR" w:eastAsia="en-GB"/>
        </w:rPr>
        <w:t xml:space="preserve">que </w:t>
      </w:r>
      <w:r w:rsidRPr="006C6865">
        <w:rPr>
          <w:rFonts w:ascii="Garamond" w:eastAsia="Times New Roman" w:hAnsi="Garamond" w:cs="Times New Roman"/>
          <w:sz w:val="24"/>
          <w:szCs w:val="24"/>
          <w:lang w:val="pt-BR" w:eastAsia="en-GB"/>
        </w:rPr>
        <w:t>os Governos tenham uma intervenção na economia.</w:t>
      </w:r>
      <w:r w:rsidRPr="006C6865">
        <w:rPr>
          <w:rFonts w:ascii="Garamond" w:eastAsia="Times New Roman" w:hAnsi="Garamond" w:cs="Times New Roman"/>
          <w:sz w:val="24"/>
          <w:szCs w:val="24"/>
          <w:lang w:val="pt-BR" w:eastAsia="en-GB"/>
        </w:rPr>
        <w:br/>
      </w:r>
      <w:r w:rsidRPr="006C6865">
        <w:rPr>
          <w:rFonts w:ascii="Garamond" w:eastAsia="Times New Roman" w:hAnsi="Garamond" w:cs="Times New Roman"/>
          <w:b/>
          <w:bCs/>
          <w:sz w:val="24"/>
          <w:szCs w:val="24"/>
          <w:lang w:val="pt-BR" w:eastAsia="en-GB"/>
        </w:rPr>
        <w:t>SOLUÇÃO:</w:t>
      </w:r>
      <w:r w:rsidRPr="006C6865">
        <w:rPr>
          <w:rFonts w:ascii="Garamond" w:eastAsia="Times New Roman" w:hAnsi="Garamond" w:cs="Times New Roman"/>
          <w:sz w:val="24"/>
          <w:szCs w:val="24"/>
          <w:lang w:val="pt-BR" w:eastAsia="en-GB"/>
        </w:rPr>
        <w:t xml:space="preserve"> Falso, existem dois papéis principais do governo: abordar as falhas de mercado (situações onde o mercado livre falha em fornecer resultados eficientes) e abordar a desigualdade através de impostos e transferências.</w:t>
      </w:r>
    </w:p>
    <w:p w14:paraId="45F5305E" w14:textId="529155FD" w:rsidR="00A34CE6" w:rsidRPr="00A848B1" w:rsidRDefault="005F3B7D" w:rsidP="00A848B1">
      <w:pPr>
        <w:numPr>
          <w:ilvl w:val="0"/>
          <w:numId w:val="1"/>
        </w:numPr>
        <w:spacing w:after="0" w:line="360" w:lineRule="auto"/>
        <w:jc w:val="both"/>
        <w:rPr>
          <w:rFonts w:ascii="Garamond" w:eastAsia="Times New Roman" w:hAnsi="Garamond" w:cs="Times New Roman"/>
          <w:sz w:val="24"/>
          <w:szCs w:val="24"/>
          <w:lang w:val="pt-BR" w:eastAsia="en-GB"/>
        </w:rPr>
      </w:pPr>
      <w:r w:rsidRPr="006C6865">
        <w:rPr>
          <w:rFonts w:ascii="Garamond" w:eastAsia="Times New Roman" w:hAnsi="Garamond" w:cs="Times New Roman"/>
          <w:sz w:val="24"/>
          <w:szCs w:val="24"/>
          <w:lang w:val="pt-BR" w:eastAsia="en-GB"/>
        </w:rPr>
        <w:t>A e</w:t>
      </w:r>
      <w:r w:rsidR="00A34CE6" w:rsidRPr="006C6865">
        <w:rPr>
          <w:rFonts w:ascii="Garamond" w:eastAsia="Times New Roman" w:hAnsi="Garamond" w:cs="Times New Roman"/>
          <w:sz w:val="24"/>
          <w:szCs w:val="24"/>
          <w:lang w:val="pt-BR" w:eastAsia="en-GB"/>
        </w:rPr>
        <w:t>vidência de concentração em torno do primeiro ponto de inflexão do EITC implica que o modelo económico padrão da oferta de trabalho funciona</w:t>
      </w:r>
      <w:r w:rsidRPr="006C6865">
        <w:rPr>
          <w:rFonts w:ascii="Garamond" w:eastAsia="Times New Roman" w:hAnsi="Garamond" w:cs="Times New Roman"/>
          <w:sz w:val="24"/>
          <w:szCs w:val="24"/>
          <w:lang w:val="pt-BR" w:eastAsia="en-GB"/>
        </w:rPr>
        <w:t xml:space="preserve"> nesse contexto</w:t>
      </w:r>
      <w:r w:rsidR="00A34CE6" w:rsidRPr="006C6865">
        <w:rPr>
          <w:rFonts w:ascii="Garamond" w:eastAsia="Times New Roman" w:hAnsi="Garamond" w:cs="Times New Roman"/>
          <w:sz w:val="24"/>
          <w:szCs w:val="24"/>
          <w:lang w:val="pt-BR" w:eastAsia="en-GB"/>
        </w:rPr>
        <w:t>.</w:t>
      </w:r>
      <w:r w:rsidR="00A34CE6" w:rsidRPr="006C6865">
        <w:rPr>
          <w:rFonts w:ascii="Garamond" w:eastAsia="Times New Roman" w:hAnsi="Garamond" w:cs="Times New Roman"/>
          <w:sz w:val="24"/>
          <w:szCs w:val="24"/>
          <w:lang w:val="pt-BR" w:eastAsia="en-GB"/>
        </w:rPr>
        <w:br/>
      </w:r>
      <w:r w:rsidR="00A34CE6" w:rsidRPr="006C6865">
        <w:rPr>
          <w:rFonts w:ascii="Garamond" w:eastAsia="Times New Roman" w:hAnsi="Garamond" w:cs="Times New Roman"/>
          <w:b/>
          <w:bCs/>
          <w:sz w:val="24"/>
          <w:szCs w:val="24"/>
          <w:lang w:val="pt-BR" w:eastAsia="en-GB"/>
        </w:rPr>
        <w:t>SOLUÇÃO:</w:t>
      </w:r>
      <w:r w:rsidR="00A34CE6" w:rsidRPr="006C6865">
        <w:rPr>
          <w:rFonts w:ascii="Garamond" w:eastAsia="Times New Roman" w:hAnsi="Garamond" w:cs="Times New Roman"/>
          <w:sz w:val="24"/>
          <w:szCs w:val="24"/>
          <w:lang w:val="pt-BR" w:eastAsia="en-GB"/>
        </w:rPr>
        <w:t xml:space="preserve"> Falso. Embora seja verdade que a concentração no primeiro ponto de inflexão do EITC é prevista pelo modelo económico padrão, a evidências mostra que essa concentração provém de trabalhadores independentes (não há tal concentração para os assalariados puros). Como resultado, a concentração surge dos trabalhadores independentes que reportam rendimentos para maximizar os reembolsos fiscais (pois a </w:t>
      </w:r>
      <w:r w:rsidR="003211CC" w:rsidRPr="006C6865">
        <w:rPr>
          <w:rFonts w:ascii="Garamond" w:eastAsia="Times New Roman" w:hAnsi="Garamond" w:cs="Times New Roman"/>
          <w:sz w:val="24"/>
          <w:szCs w:val="24"/>
          <w:lang w:val="pt-BR" w:eastAsia="en-GB"/>
        </w:rPr>
        <w:t>AT</w:t>
      </w:r>
      <w:r w:rsidR="00A34CE6" w:rsidRPr="006C6865">
        <w:rPr>
          <w:rFonts w:ascii="Garamond" w:eastAsia="Times New Roman" w:hAnsi="Garamond" w:cs="Times New Roman"/>
          <w:sz w:val="24"/>
          <w:szCs w:val="24"/>
          <w:lang w:val="pt-BR" w:eastAsia="en-GB"/>
        </w:rPr>
        <w:t xml:space="preserve"> não tem uma maneira fácil de verificar). Portanto, isso é um fenómeno de evasão fiscal, não de oferta de trabalho.</w:t>
      </w:r>
    </w:p>
    <w:p w14:paraId="33F28F65" w14:textId="51FEF086" w:rsidR="00A34CE6" w:rsidRPr="006C6865" w:rsidRDefault="00A34CE6" w:rsidP="006C6865">
      <w:pPr>
        <w:numPr>
          <w:ilvl w:val="0"/>
          <w:numId w:val="1"/>
        </w:numPr>
        <w:spacing w:after="0" w:line="360" w:lineRule="auto"/>
        <w:jc w:val="both"/>
        <w:rPr>
          <w:rFonts w:ascii="Garamond" w:eastAsia="Times New Roman" w:hAnsi="Garamond" w:cs="Times New Roman"/>
          <w:sz w:val="24"/>
          <w:szCs w:val="24"/>
          <w:lang w:val="pt-BR" w:eastAsia="en-GB"/>
        </w:rPr>
      </w:pPr>
      <w:r w:rsidRPr="006C6865">
        <w:rPr>
          <w:rFonts w:ascii="Garamond" w:eastAsia="Times New Roman" w:hAnsi="Garamond" w:cs="Times New Roman"/>
          <w:sz w:val="24"/>
          <w:szCs w:val="24"/>
          <w:lang w:val="pt-BR" w:eastAsia="en-GB"/>
        </w:rPr>
        <w:t>Bens cuja procura é inelástica ao preço devem ser mais tributados.</w:t>
      </w:r>
      <w:r w:rsidRPr="006C6865">
        <w:rPr>
          <w:rFonts w:ascii="Garamond" w:eastAsia="Times New Roman" w:hAnsi="Garamond" w:cs="Times New Roman"/>
          <w:sz w:val="24"/>
          <w:szCs w:val="24"/>
          <w:lang w:val="pt-BR" w:eastAsia="en-GB"/>
        </w:rPr>
        <w:br/>
      </w:r>
      <w:r w:rsidRPr="006C6865">
        <w:rPr>
          <w:rFonts w:ascii="Garamond" w:eastAsia="Times New Roman" w:hAnsi="Garamond" w:cs="Times New Roman"/>
          <w:b/>
          <w:bCs/>
          <w:sz w:val="24"/>
          <w:szCs w:val="24"/>
          <w:lang w:val="pt-BR" w:eastAsia="en-GB"/>
        </w:rPr>
        <w:t>SOLUÇÃO:</w:t>
      </w:r>
      <w:r w:rsidRPr="006C6865">
        <w:rPr>
          <w:rFonts w:ascii="Garamond" w:eastAsia="Times New Roman" w:hAnsi="Garamond" w:cs="Times New Roman"/>
          <w:sz w:val="24"/>
          <w:szCs w:val="24"/>
          <w:lang w:val="pt-BR" w:eastAsia="en-GB"/>
        </w:rPr>
        <w:t xml:space="preserve"> Um imposto sobre um bem cuja procura é inelástica produz relativamente menos </w:t>
      </w:r>
      <w:r w:rsidR="003211CC" w:rsidRPr="006C6865">
        <w:rPr>
          <w:rFonts w:ascii="Garamond" w:eastAsia="Times New Roman" w:hAnsi="Garamond" w:cs="Times New Roman"/>
          <w:i/>
          <w:iCs/>
          <w:sz w:val="24"/>
          <w:szCs w:val="24"/>
          <w:lang w:val="pt-BR" w:eastAsia="en-GB"/>
        </w:rPr>
        <w:t>deadweight loss</w:t>
      </w:r>
      <w:r w:rsidRPr="006C6865">
        <w:rPr>
          <w:rFonts w:ascii="Garamond" w:eastAsia="Times New Roman" w:hAnsi="Garamond" w:cs="Times New Roman"/>
          <w:sz w:val="24"/>
          <w:szCs w:val="24"/>
          <w:lang w:val="pt-BR" w:eastAsia="en-GB"/>
        </w:rPr>
        <w:t xml:space="preserve">. Portanto, se o objetivo é arrecadar impostos para </w:t>
      </w:r>
      <w:r w:rsidR="005F3B7D" w:rsidRPr="006C6865">
        <w:rPr>
          <w:rFonts w:ascii="Garamond" w:eastAsia="Times New Roman" w:hAnsi="Garamond" w:cs="Times New Roman"/>
          <w:sz w:val="24"/>
          <w:szCs w:val="24"/>
          <w:lang w:val="pt-BR" w:eastAsia="en-GB"/>
        </w:rPr>
        <w:t xml:space="preserve">o </w:t>
      </w:r>
      <w:r w:rsidRPr="006C6865">
        <w:rPr>
          <w:rFonts w:ascii="Garamond" w:eastAsia="Times New Roman" w:hAnsi="Garamond" w:cs="Times New Roman"/>
          <w:sz w:val="24"/>
          <w:szCs w:val="24"/>
          <w:lang w:val="pt-BR" w:eastAsia="en-GB"/>
        </w:rPr>
        <w:t>minimizar, então, de facto, bens cuja procura é inelástica ao preço devem ser mais tributados. No entanto, esta “regra de imposto de Ramsey” não considera questões redistributivas. Por exemplo, os pobres podem usar mais os seus carros em áreas rurais</w:t>
      </w:r>
      <w:r w:rsidR="005F3B7D" w:rsidRPr="006C6865">
        <w:rPr>
          <w:rFonts w:ascii="Garamond" w:eastAsia="Times New Roman" w:hAnsi="Garamond" w:cs="Times New Roman"/>
          <w:sz w:val="24"/>
          <w:szCs w:val="24"/>
          <w:lang w:val="pt-BR" w:eastAsia="en-GB"/>
        </w:rPr>
        <w:t>, os mais velhos os que mais precisam de medicamentos.</w:t>
      </w:r>
    </w:p>
    <w:p w14:paraId="6391196D" w14:textId="0702D60C" w:rsidR="00A34CE6" w:rsidRPr="006C6865" w:rsidRDefault="00A34CE6" w:rsidP="006C6865">
      <w:pPr>
        <w:numPr>
          <w:ilvl w:val="0"/>
          <w:numId w:val="1"/>
        </w:numPr>
        <w:spacing w:after="0" w:line="360" w:lineRule="auto"/>
        <w:jc w:val="both"/>
        <w:rPr>
          <w:rFonts w:ascii="Garamond" w:eastAsia="Times New Roman" w:hAnsi="Garamond" w:cs="Times New Roman"/>
          <w:sz w:val="24"/>
          <w:szCs w:val="24"/>
          <w:lang w:val="pt-BR" w:eastAsia="en-GB"/>
        </w:rPr>
      </w:pPr>
      <w:r w:rsidRPr="006C6865">
        <w:rPr>
          <w:rFonts w:ascii="Garamond" w:eastAsia="Times New Roman" w:hAnsi="Garamond" w:cs="Times New Roman"/>
          <w:sz w:val="24"/>
          <w:szCs w:val="24"/>
          <w:lang w:val="pt-BR" w:eastAsia="en-GB"/>
        </w:rPr>
        <w:t>O programa de Crédito de Imposto sobre Rendimentos do Trabalho (EITC) nos Estados Unidos provavelmente desencoraja a oferta de trabalho em média, pois a maioria dos beneficiários está na faixa de estabilização ou</w:t>
      </w:r>
      <w:r w:rsidR="005F3B7D" w:rsidRPr="006C6865">
        <w:rPr>
          <w:rFonts w:ascii="Garamond" w:eastAsia="Times New Roman" w:hAnsi="Garamond" w:cs="Times New Roman"/>
          <w:sz w:val="24"/>
          <w:szCs w:val="24"/>
          <w:lang w:val="pt-BR" w:eastAsia="en-GB"/>
        </w:rPr>
        <w:t xml:space="preserve"> na</w:t>
      </w:r>
      <w:r w:rsidRPr="006C6865">
        <w:rPr>
          <w:rFonts w:ascii="Garamond" w:eastAsia="Times New Roman" w:hAnsi="Garamond" w:cs="Times New Roman"/>
          <w:sz w:val="24"/>
          <w:szCs w:val="24"/>
          <w:lang w:val="pt-BR" w:eastAsia="en-GB"/>
        </w:rPr>
        <w:t xml:space="preserve"> eliminação gradual do programa.</w:t>
      </w:r>
      <w:r w:rsidRPr="006C6865">
        <w:rPr>
          <w:rFonts w:ascii="Garamond" w:eastAsia="Times New Roman" w:hAnsi="Garamond" w:cs="Times New Roman"/>
          <w:sz w:val="24"/>
          <w:szCs w:val="24"/>
          <w:lang w:val="pt-BR" w:eastAsia="en-GB"/>
        </w:rPr>
        <w:br/>
      </w:r>
      <w:r w:rsidRPr="006C6865">
        <w:rPr>
          <w:rFonts w:ascii="Garamond" w:eastAsia="Times New Roman" w:hAnsi="Garamond" w:cs="Times New Roman"/>
          <w:b/>
          <w:bCs/>
          <w:sz w:val="24"/>
          <w:szCs w:val="24"/>
          <w:lang w:val="pt-BR" w:eastAsia="en-GB"/>
        </w:rPr>
        <w:lastRenderedPageBreak/>
        <w:t>SOLUÇÃO:</w:t>
      </w:r>
      <w:r w:rsidRPr="006C6865">
        <w:rPr>
          <w:rFonts w:ascii="Garamond" w:eastAsia="Times New Roman" w:hAnsi="Garamond" w:cs="Times New Roman"/>
          <w:sz w:val="24"/>
          <w:szCs w:val="24"/>
          <w:lang w:val="pt-BR" w:eastAsia="en-GB"/>
        </w:rPr>
        <w:t xml:space="preserve"> Falso: É verdade que ao longo da margem intensiva, o EITC desencoraja a oferta de trabalho na estabilização e eliminação gradual, mas o EITC incentiva claramente o trabalho ao longo da margem extensiva da oferta de trabalho.</w:t>
      </w:r>
    </w:p>
    <w:p w14:paraId="5F0AF08F" w14:textId="7ABA8534" w:rsidR="00A34CE6" w:rsidRPr="009934B1" w:rsidRDefault="00A34CE6" w:rsidP="009934B1">
      <w:pPr>
        <w:numPr>
          <w:ilvl w:val="0"/>
          <w:numId w:val="1"/>
        </w:numPr>
        <w:spacing w:after="0" w:line="360" w:lineRule="auto"/>
        <w:jc w:val="both"/>
        <w:rPr>
          <w:rFonts w:ascii="Garamond" w:eastAsia="Times New Roman" w:hAnsi="Garamond" w:cs="Times New Roman"/>
          <w:sz w:val="24"/>
          <w:szCs w:val="24"/>
          <w:lang w:val="pt-BR" w:eastAsia="en-GB"/>
        </w:rPr>
      </w:pPr>
      <w:r w:rsidRPr="006C6865">
        <w:rPr>
          <w:rFonts w:ascii="Garamond" w:eastAsia="Times New Roman" w:hAnsi="Garamond" w:cs="Times New Roman"/>
          <w:sz w:val="24"/>
          <w:szCs w:val="24"/>
          <w:lang w:val="pt-BR" w:eastAsia="en-GB"/>
        </w:rPr>
        <w:t>Os custos de eficiência do EITC estão a aumentar com o tempo, à medida que cada vez mais indivíduos descobrem como manipular o EITC.</w:t>
      </w:r>
      <w:r w:rsidRPr="006C6865">
        <w:rPr>
          <w:rFonts w:ascii="Garamond" w:eastAsia="Times New Roman" w:hAnsi="Garamond" w:cs="Times New Roman"/>
          <w:sz w:val="24"/>
          <w:szCs w:val="24"/>
          <w:lang w:val="pt-BR" w:eastAsia="en-GB"/>
        </w:rPr>
        <w:br/>
      </w:r>
      <w:r w:rsidRPr="006C6865">
        <w:rPr>
          <w:rFonts w:ascii="Garamond" w:eastAsia="Times New Roman" w:hAnsi="Garamond" w:cs="Times New Roman"/>
          <w:b/>
          <w:bCs/>
          <w:sz w:val="24"/>
          <w:szCs w:val="24"/>
          <w:lang w:val="pt-BR" w:eastAsia="en-GB"/>
        </w:rPr>
        <w:t>SOLUÇÃO:</w:t>
      </w:r>
      <w:r w:rsidRPr="006C6865">
        <w:rPr>
          <w:rFonts w:ascii="Garamond" w:eastAsia="Times New Roman" w:hAnsi="Garamond" w:cs="Times New Roman"/>
          <w:sz w:val="24"/>
          <w:szCs w:val="24"/>
          <w:lang w:val="pt-BR" w:eastAsia="en-GB"/>
        </w:rPr>
        <w:t xml:space="preserve"> Verdadeiro. Chetty, Friedman e Saez (2013, AER) mostram que a fraude do EITC através de rendimentos de trabalho independente para maximizar o reembolso do EITC tem aumentado ao longo do tempo. Isso sugere que os custos de eficiência do EITC (devido a respostas comportamentais) aumentam com o tempo à medida que a informação sobre a estrutura do EITC se difunde.</w:t>
      </w:r>
    </w:p>
    <w:p w14:paraId="0AC7F2D2" w14:textId="77777777" w:rsidR="009934B1" w:rsidRDefault="00A34CE6" w:rsidP="009934B1">
      <w:pPr>
        <w:numPr>
          <w:ilvl w:val="0"/>
          <w:numId w:val="1"/>
        </w:numPr>
        <w:spacing w:after="0" w:line="360" w:lineRule="auto"/>
        <w:jc w:val="both"/>
        <w:rPr>
          <w:rFonts w:ascii="Garamond" w:eastAsia="Times New Roman" w:hAnsi="Garamond" w:cs="Times New Roman"/>
          <w:sz w:val="24"/>
          <w:szCs w:val="24"/>
          <w:lang w:val="pt-BR" w:eastAsia="en-GB"/>
        </w:rPr>
      </w:pPr>
      <w:r w:rsidRPr="006C6865">
        <w:rPr>
          <w:rFonts w:ascii="Garamond" w:eastAsia="Times New Roman" w:hAnsi="Garamond" w:cs="Times New Roman"/>
          <w:sz w:val="24"/>
          <w:szCs w:val="24"/>
          <w:lang w:val="pt-BR" w:eastAsia="en-GB"/>
        </w:rPr>
        <w:t>As evidências de vencedores de lot</w:t>
      </w:r>
      <w:r w:rsidR="009934B1">
        <w:rPr>
          <w:rFonts w:ascii="Garamond" w:eastAsia="Times New Roman" w:hAnsi="Garamond" w:cs="Times New Roman"/>
          <w:sz w:val="24"/>
          <w:szCs w:val="24"/>
          <w:lang w:val="pt-BR" w:eastAsia="en-GB"/>
        </w:rPr>
        <w:t>a</w:t>
      </w:r>
      <w:r w:rsidRPr="006C6865">
        <w:rPr>
          <w:rFonts w:ascii="Garamond" w:eastAsia="Times New Roman" w:hAnsi="Garamond" w:cs="Times New Roman"/>
          <w:sz w:val="24"/>
          <w:szCs w:val="24"/>
          <w:lang w:val="pt-BR" w:eastAsia="en-GB"/>
        </w:rPr>
        <w:t>rias mostram que existem efeitos substanciais de rendimento sobre a oferta de trabalho.</w:t>
      </w:r>
    </w:p>
    <w:p w14:paraId="4FCB1E1E" w14:textId="609517D2" w:rsidR="00A34CE6" w:rsidRPr="006C6865" w:rsidRDefault="00A34CE6" w:rsidP="009934B1">
      <w:pPr>
        <w:spacing w:after="0" w:line="360" w:lineRule="auto"/>
        <w:ind w:left="720"/>
        <w:jc w:val="both"/>
        <w:rPr>
          <w:rFonts w:ascii="Garamond" w:eastAsia="Times New Roman" w:hAnsi="Garamond" w:cs="Times New Roman"/>
          <w:sz w:val="24"/>
          <w:szCs w:val="24"/>
          <w:lang w:val="pt-BR" w:eastAsia="en-GB"/>
        </w:rPr>
      </w:pPr>
      <w:r w:rsidRPr="009934B1">
        <w:rPr>
          <w:rFonts w:ascii="Garamond" w:eastAsia="Times New Roman" w:hAnsi="Garamond" w:cs="Times New Roman"/>
          <w:b/>
          <w:bCs/>
          <w:sz w:val="24"/>
          <w:szCs w:val="24"/>
          <w:lang w:val="pt-BR" w:eastAsia="en-GB"/>
        </w:rPr>
        <w:t>SOLUÇÃO:</w:t>
      </w:r>
      <w:r w:rsidRPr="009934B1">
        <w:rPr>
          <w:rFonts w:ascii="Garamond" w:eastAsia="Times New Roman" w:hAnsi="Garamond" w:cs="Times New Roman"/>
          <w:sz w:val="24"/>
          <w:szCs w:val="24"/>
          <w:lang w:val="pt-BR" w:eastAsia="en-GB"/>
        </w:rPr>
        <w:t xml:space="preserve"> Evidências empíricas mostram efeitos negativos dos ganhos em loterias sobre a oferta de trabalho. Imbens et al. AER 2001 para os Estados Unidos [e Cesarini et al. (2015) para a Suécia] apresentam evidências convincentes comparando vencedores e não vencedores condicionados a</w:t>
      </w:r>
      <w:r w:rsidR="006C6865" w:rsidRPr="009934B1">
        <w:rPr>
          <w:rFonts w:ascii="Garamond" w:eastAsia="Times New Roman" w:hAnsi="Garamond" w:cs="Times New Roman"/>
          <w:sz w:val="24"/>
          <w:szCs w:val="24"/>
          <w:lang w:val="pt-BR" w:eastAsia="en-GB"/>
        </w:rPr>
        <w:t xml:space="preserve"> terem</w:t>
      </w:r>
      <w:r w:rsidRPr="009934B1">
        <w:rPr>
          <w:rFonts w:ascii="Garamond" w:eastAsia="Times New Roman" w:hAnsi="Garamond" w:cs="Times New Roman"/>
          <w:sz w:val="24"/>
          <w:szCs w:val="24"/>
          <w:lang w:val="pt-BR" w:eastAsia="en-GB"/>
        </w:rPr>
        <w:t xml:space="preserve"> joga</w:t>
      </w:r>
      <w:r w:rsidR="006C6865" w:rsidRPr="009934B1">
        <w:rPr>
          <w:rFonts w:ascii="Garamond" w:eastAsia="Times New Roman" w:hAnsi="Garamond" w:cs="Times New Roman"/>
          <w:sz w:val="24"/>
          <w:szCs w:val="24"/>
          <w:lang w:val="pt-BR" w:eastAsia="en-GB"/>
        </w:rPr>
        <w:t>do</w:t>
      </w:r>
      <w:r w:rsidRPr="009934B1">
        <w:rPr>
          <w:rFonts w:ascii="Garamond" w:eastAsia="Times New Roman" w:hAnsi="Garamond" w:cs="Times New Roman"/>
          <w:sz w:val="24"/>
          <w:szCs w:val="24"/>
          <w:lang w:val="pt-BR" w:eastAsia="en-GB"/>
        </w:rPr>
        <w:t>. No entanto, a magnitude dos efeitos de rendimento é bastante pequena: $1 reduz os rendimentos em cerca de $0,1, portanto, os efeitos empíricos não são “substanciais”.</w:t>
      </w:r>
    </w:p>
    <w:p w14:paraId="694198F8" w14:textId="22DC039A" w:rsidR="00A34CE6" w:rsidRPr="009934B1" w:rsidRDefault="00A34CE6" w:rsidP="009934B1">
      <w:pPr>
        <w:numPr>
          <w:ilvl w:val="0"/>
          <w:numId w:val="1"/>
        </w:numPr>
        <w:spacing w:after="0" w:line="360" w:lineRule="auto"/>
        <w:jc w:val="both"/>
        <w:rPr>
          <w:rFonts w:ascii="Garamond" w:eastAsia="Times New Roman" w:hAnsi="Garamond" w:cs="Times New Roman"/>
          <w:sz w:val="24"/>
          <w:szCs w:val="24"/>
          <w:lang w:val="pt-BR" w:eastAsia="en-GB"/>
        </w:rPr>
      </w:pPr>
      <w:r w:rsidRPr="006C6865">
        <w:rPr>
          <w:rFonts w:ascii="Garamond" w:eastAsia="Times New Roman" w:hAnsi="Garamond" w:cs="Times New Roman"/>
          <w:sz w:val="24"/>
          <w:szCs w:val="24"/>
          <w:lang w:val="pt-BR" w:eastAsia="en-GB"/>
        </w:rPr>
        <w:t>Desde os anos 2000, o principal motor da disparidade de género tem sido as diferenças no nível educacional entre homens e mulheres.</w:t>
      </w:r>
      <w:r w:rsidRPr="006C6865">
        <w:rPr>
          <w:rFonts w:ascii="Garamond" w:eastAsia="Times New Roman" w:hAnsi="Garamond" w:cs="Times New Roman"/>
          <w:sz w:val="24"/>
          <w:szCs w:val="24"/>
          <w:lang w:val="pt-BR" w:eastAsia="en-GB"/>
        </w:rPr>
        <w:br/>
      </w:r>
      <w:r w:rsidRPr="006C6865">
        <w:rPr>
          <w:rFonts w:ascii="Garamond" w:eastAsia="Times New Roman" w:hAnsi="Garamond" w:cs="Times New Roman"/>
          <w:b/>
          <w:bCs/>
          <w:sz w:val="24"/>
          <w:szCs w:val="24"/>
          <w:lang w:val="pt-BR" w:eastAsia="en-GB"/>
        </w:rPr>
        <w:t>SOLUÇÃO:</w:t>
      </w:r>
      <w:r w:rsidRPr="006C6865">
        <w:rPr>
          <w:rFonts w:ascii="Garamond" w:eastAsia="Times New Roman" w:hAnsi="Garamond" w:cs="Times New Roman"/>
          <w:sz w:val="24"/>
          <w:szCs w:val="24"/>
          <w:lang w:val="pt-BR" w:eastAsia="en-GB"/>
        </w:rPr>
        <w:t xml:space="preserve"> Falso. Desde os anos 2000, a educação e, mais geralmente, o capital humano não podem explicar muito da disparidade salarial de género. Escolhas de setor e ocupação, bem como efeitos da penalidade de filhos (ver os artigos de Kleven, Landais, et al.) são os principais fatores da disparidade salarial de género.</w:t>
      </w:r>
    </w:p>
    <w:p w14:paraId="533E6424" w14:textId="77777777" w:rsidR="009934B1" w:rsidRDefault="00A34CE6" w:rsidP="009934B1">
      <w:pPr>
        <w:numPr>
          <w:ilvl w:val="0"/>
          <w:numId w:val="1"/>
        </w:numPr>
        <w:spacing w:after="0" w:line="360" w:lineRule="auto"/>
        <w:jc w:val="both"/>
        <w:rPr>
          <w:rFonts w:ascii="Garamond" w:eastAsia="Times New Roman" w:hAnsi="Garamond" w:cs="Times New Roman"/>
          <w:sz w:val="24"/>
          <w:szCs w:val="24"/>
          <w:lang w:val="pt-BR" w:eastAsia="en-GB"/>
        </w:rPr>
      </w:pPr>
      <w:r w:rsidRPr="006C6865">
        <w:rPr>
          <w:rFonts w:ascii="Garamond" w:eastAsia="Times New Roman" w:hAnsi="Garamond" w:cs="Times New Roman"/>
          <w:sz w:val="24"/>
          <w:szCs w:val="24"/>
          <w:lang w:val="pt-BR" w:eastAsia="en-GB"/>
        </w:rPr>
        <w:t>Instituições do mercado de trabalho desempenharam um papel no aumento da desigualdade salarial nos EUA.</w:t>
      </w:r>
      <w:r w:rsidR="006C6865">
        <w:rPr>
          <w:rFonts w:ascii="Garamond" w:eastAsia="Times New Roman" w:hAnsi="Garamond" w:cs="Times New Roman"/>
          <w:sz w:val="24"/>
          <w:szCs w:val="24"/>
          <w:lang w:val="pt-BR" w:eastAsia="en-GB"/>
        </w:rPr>
        <w:t xml:space="preserve">  </w:t>
      </w:r>
    </w:p>
    <w:p w14:paraId="1DE3F7B8" w14:textId="381320BB" w:rsidR="00A34CE6" w:rsidRPr="009934B1" w:rsidRDefault="00A34CE6" w:rsidP="009934B1">
      <w:pPr>
        <w:spacing w:after="0" w:line="360" w:lineRule="auto"/>
        <w:ind w:left="720"/>
        <w:jc w:val="both"/>
        <w:rPr>
          <w:rFonts w:ascii="Garamond" w:eastAsia="Times New Roman" w:hAnsi="Garamond" w:cs="Times New Roman"/>
          <w:sz w:val="24"/>
          <w:szCs w:val="24"/>
          <w:lang w:val="pt-BR" w:eastAsia="en-GB"/>
        </w:rPr>
      </w:pPr>
      <w:r w:rsidRPr="009934B1">
        <w:rPr>
          <w:rFonts w:ascii="Garamond" w:eastAsia="Times New Roman" w:hAnsi="Garamond" w:cs="Times New Roman"/>
          <w:b/>
          <w:bCs/>
          <w:sz w:val="24"/>
          <w:szCs w:val="24"/>
          <w:lang w:val="pt-BR" w:eastAsia="en-GB"/>
        </w:rPr>
        <w:t>SOLUÇÃO:</w:t>
      </w:r>
      <w:r w:rsidRPr="009934B1">
        <w:rPr>
          <w:rFonts w:ascii="Garamond" w:eastAsia="Times New Roman" w:hAnsi="Garamond" w:cs="Times New Roman"/>
          <w:sz w:val="24"/>
          <w:szCs w:val="24"/>
          <w:lang w:val="pt-BR" w:eastAsia="en-GB"/>
        </w:rPr>
        <w:t xml:space="preserve"> Verdadeiro. O salário mínimo, sindicatos, tributação, poder de mercado, globalização e acesso ao ensino superior são todos exemplos de instituições que afetaram, de uma maneira ou de outra, o aumento da desigualdade salarial.</w:t>
      </w:r>
    </w:p>
    <w:p w14:paraId="7CC01FDE" w14:textId="77777777" w:rsidR="00A34CE6" w:rsidRPr="006C6865" w:rsidRDefault="00A34CE6" w:rsidP="00A34CE6">
      <w:pPr>
        <w:spacing w:after="0" w:line="360" w:lineRule="auto"/>
        <w:jc w:val="both"/>
        <w:rPr>
          <w:rFonts w:ascii="Garamond" w:eastAsia="Times New Roman" w:hAnsi="Garamond" w:cs="Times New Roman"/>
          <w:sz w:val="24"/>
          <w:szCs w:val="24"/>
          <w:lang w:val="pt-BR" w:eastAsia="en-GB"/>
        </w:rPr>
      </w:pPr>
    </w:p>
    <w:p w14:paraId="4DA315A0" w14:textId="440EC519" w:rsidR="00A34CE6" w:rsidRDefault="00A34CE6" w:rsidP="00A34CE6">
      <w:pPr>
        <w:spacing w:after="0" w:line="360" w:lineRule="auto"/>
        <w:jc w:val="both"/>
        <w:outlineLvl w:val="2"/>
        <w:rPr>
          <w:rFonts w:ascii="Garamond" w:eastAsia="Times New Roman" w:hAnsi="Garamond" w:cs="Times New Roman"/>
          <w:b/>
          <w:bCs/>
          <w:sz w:val="24"/>
          <w:szCs w:val="24"/>
          <w:lang w:val="en-GB" w:eastAsia="en-GB"/>
        </w:rPr>
      </w:pPr>
      <w:r w:rsidRPr="00A34CE6">
        <w:rPr>
          <w:rFonts w:ascii="Garamond" w:eastAsia="Times New Roman" w:hAnsi="Garamond" w:cs="Times New Roman"/>
          <w:b/>
          <w:bCs/>
          <w:sz w:val="24"/>
          <w:szCs w:val="24"/>
          <w:lang w:val="en-GB" w:eastAsia="en-GB"/>
        </w:rPr>
        <w:t>B. Outras perguntas</w:t>
      </w:r>
    </w:p>
    <w:p w14:paraId="05AC2295" w14:textId="77777777" w:rsidR="00A34CE6" w:rsidRPr="00A34CE6" w:rsidRDefault="00A34CE6" w:rsidP="00A34CE6">
      <w:pPr>
        <w:spacing w:after="0" w:line="360" w:lineRule="auto"/>
        <w:jc w:val="both"/>
        <w:outlineLvl w:val="2"/>
        <w:rPr>
          <w:rFonts w:ascii="Garamond" w:eastAsia="Times New Roman" w:hAnsi="Garamond" w:cs="Times New Roman"/>
          <w:b/>
          <w:bCs/>
          <w:sz w:val="24"/>
          <w:szCs w:val="24"/>
          <w:lang w:val="en-GB" w:eastAsia="en-GB"/>
        </w:rPr>
      </w:pPr>
    </w:p>
    <w:p w14:paraId="048180EB" w14:textId="10A299DC" w:rsidR="00A34CE6" w:rsidRPr="006C6865" w:rsidRDefault="00A34CE6" w:rsidP="00A34CE6">
      <w:pPr>
        <w:numPr>
          <w:ilvl w:val="0"/>
          <w:numId w:val="2"/>
        </w:numPr>
        <w:spacing w:after="0" w:line="360" w:lineRule="auto"/>
        <w:jc w:val="both"/>
        <w:rPr>
          <w:rFonts w:ascii="Garamond" w:eastAsia="Times New Roman" w:hAnsi="Garamond" w:cs="Times New Roman"/>
          <w:sz w:val="24"/>
          <w:szCs w:val="24"/>
          <w:lang w:val="pt-BR" w:eastAsia="en-GB"/>
        </w:rPr>
      </w:pPr>
      <w:r w:rsidRPr="006C6865">
        <w:rPr>
          <w:rFonts w:ascii="Garamond" w:eastAsia="Times New Roman" w:hAnsi="Garamond" w:cs="Times New Roman"/>
          <w:sz w:val="24"/>
          <w:szCs w:val="24"/>
          <w:lang w:val="pt-BR" w:eastAsia="en-GB"/>
        </w:rPr>
        <w:t xml:space="preserve">Explique nas suas próprias palavras </w:t>
      </w:r>
      <w:r w:rsidR="003211CC" w:rsidRPr="006C6865">
        <w:rPr>
          <w:rFonts w:ascii="Garamond" w:eastAsia="Times New Roman" w:hAnsi="Garamond" w:cs="Times New Roman"/>
          <w:sz w:val="24"/>
          <w:szCs w:val="24"/>
          <w:lang w:val="pt-BR" w:eastAsia="en-GB"/>
        </w:rPr>
        <w:t xml:space="preserve">o </w:t>
      </w:r>
      <w:r w:rsidR="003211CC" w:rsidRPr="006C6865">
        <w:rPr>
          <w:rFonts w:ascii="Garamond" w:eastAsia="Times New Roman" w:hAnsi="Garamond" w:cs="Times New Roman"/>
          <w:i/>
          <w:iCs/>
          <w:sz w:val="24"/>
          <w:szCs w:val="24"/>
          <w:lang w:val="pt-BR" w:eastAsia="en-GB"/>
        </w:rPr>
        <w:t>trade-off</w:t>
      </w:r>
      <w:r w:rsidR="003211CC" w:rsidRPr="006C6865">
        <w:rPr>
          <w:rFonts w:ascii="Garamond" w:eastAsia="Times New Roman" w:hAnsi="Garamond" w:cs="Times New Roman"/>
          <w:sz w:val="24"/>
          <w:szCs w:val="24"/>
          <w:lang w:val="pt-BR" w:eastAsia="en-GB"/>
        </w:rPr>
        <w:t xml:space="preserve"> </w:t>
      </w:r>
      <w:r w:rsidRPr="006C6865">
        <w:rPr>
          <w:rFonts w:ascii="Garamond" w:eastAsia="Times New Roman" w:hAnsi="Garamond" w:cs="Times New Roman"/>
          <w:sz w:val="24"/>
          <w:szCs w:val="24"/>
          <w:lang w:val="pt-BR" w:eastAsia="en-GB"/>
        </w:rPr>
        <w:t>entre equidade e eficiência na tributação.</w:t>
      </w:r>
      <w:r w:rsidRPr="006C6865">
        <w:rPr>
          <w:rFonts w:ascii="Garamond" w:eastAsia="Times New Roman" w:hAnsi="Garamond" w:cs="Times New Roman"/>
          <w:sz w:val="24"/>
          <w:szCs w:val="24"/>
          <w:lang w:val="pt-BR" w:eastAsia="en-GB"/>
        </w:rPr>
        <w:br/>
      </w:r>
      <w:r w:rsidRPr="006C6865">
        <w:rPr>
          <w:rFonts w:ascii="Garamond" w:eastAsia="Times New Roman" w:hAnsi="Garamond" w:cs="Times New Roman"/>
          <w:b/>
          <w:bCs/>
          <w:sz w:val="24"/>
          <w:szCs w:val="24"/>
          <w:lang w:val="pt-BR" w:eastAsia="en-GB"/>
        </w:rPr>
        <w:t>Resposta:</w:t>
      </w:r>
      <w:r w:rsidRPr="006C6865">
        <w:rPr>
          <w:rFonts w:ascii="Garamond" w:eastAsia="Times New Roman" w:hAnsi="Garamond" w:cs="Times New Roman"/>
          <w:sz w:val="24"/>
          <w:szCs w:val="24"/>
          <w:lang w:val="pt-BR" w:eastAsia="en-GB"/>
        </w:rPr>
        <w:t xml:space="preserve"> Existem dois efeitos principais da tributação sobre a receita. Por um lado, há </w:t>
      </w:r>
      <w:r w:rsidRPr="006C6865">
        <w:rPr>
          <w:rFonts w:ascii="Garamond" w:eastAsia="Times New Roman" w:hAnsi="Garamond" w:cs="Times New Roman"/>
          <w:sz w:val="24"/>
          <w:szCs w:val="24"/>
          <w:lang w:val="pt-BR" w:eastAsia="en-GB"/>
        </w:rPr>
        <w:lastRenderedPageBreak/>
        <w:t>um efeito mecânico. Tudo o resto constante, impostos mais elevados implicam mais receita. No entanto, a tributação mais alta também afeta os incentivos (por exemplo, reduzindo os incentivos ao trabalho) e, portanto, introduz “respostas comportamentais” que atuam em sentido oposto. Quanto mais alta a taxa de imposto, maior o efeito mecânico, mas também maiores as respostas comportamentais.</w:t>
      </w:r>
    </w:p>
    <w:p w14:paraId="50AE0A35" w14:textId="77777777" w:rsidR="00A34CE6" w:rsidRPr="006C6865" w:rsidRDefault="00A34CE6" w:rsidP="00A34CE6">
      <w:pPr>
        <w:spacing w:after="0" w:line="360" w:lineRule="auto"/>
        <w:jc w:val="both"/>
        <w:rPr>
          <w:rFonts w:ascii="Garamond" w:eastAsia="Times New Roman" w:hAnsi="Garamond" w:cs="Times New Roman"/>
          <w:sz w:val="24"/>
          <w:szCs w:val="24"/>
          <w:lang w:val="pt-BR" w:eastAsia="en-GB"/>
        </w:rPr>
      </w:pPr>
    </w:p>
    <w:p w14:paraId="32864DE7" w14:textId="77777777" w:rsidR="00A34CE6" w:rsidRPr="006C6865" w:rsidRDefault="00A34CE6" w:rsidP="00A34CE6">
      <w:pPr>
        <w:numPr>
          <w:ilvl w:val="0"/>
          <w:numId w:val="2"/>
        </w:numPr>
        <w:spacing w:after="0" w:line="360" w:lineRule="auto"/>
        <w:jc w:val="both"/>
        <w:rPr>
          <w:rFonts w:ascii="Garamond" w:eastAsia="Times New Roman" w:hAnsi="Garamond" w:cs="Times New Roman"/>
          <w:sz w:val="24"/>
          <w:szCs w:val="24"/>
          <w:lang w:val="pt-BR" w:eastAsia="en-GB"/>
        </w:rPr>
      </w:pPr>
      <w:r w:rsidRPr="006C6865">
        <w:rPr>
          <w:rFonts w:ascii="Garamond" w:eastAsia="Times New Roman" w:hAnsi="Garamond" w:cs="Times New Roman"/>
          <w:sz w:val="24"/>
          <w:szCs w:val="24"/>
          <w:lang w:val="pt-BR" w:eastAsia="en-GB"/>
        </w:rPr>
        <w:t>Considere Naritomi (2019, AER) sobre um quase-experimento natural usando dados de São Paulo.</w:t>
      </w:r>
    </w:p>
    <w:p w14:paraId="4629AD76" w14:textId="77777777" w:rsidR="00A848B1" w:rsidRDefault="00A34CE6" w:rsidP="00A34CE6">
      <w:pPr>
        <w:spacing w:after="0" w:line="360" w:lineRule="auto"/>
        <w:jc w:val="both"/>
        <w:rPr>
          <w:rFonts w:ascii="Garamond" w:eastAsia="Times New Roman" w:hAnsi="Garamond" w:cs="Times New Roman"/>
          <w:sz w:val="24"/>
          <w:szCs w:val="24"/>
          <w:lang w:val="pt-BR" w:eastAsia="en-GB"/>
        </w:rPr>
      </w:pPr>
      <w:r w:rsidRPr="006C6865">
        <w:rPr>
          <w:rFonts w:ascii="Garamond" w:eastAsia="Times New Roman" w:hAnsi="Garamond" w:cs="Times New Roman"/>
          <w:sz w:val="24"/>
          <w:szCs w:val="24"/>
          <w:lang w:val="pt-BR" w:eastAsia="en-GB"/>
        </w:rPr>
        <w:br/>
        <w:t>a) Explique como o programa Nota Fiscal Paulista (NFP) utiliza consumidores como “auditores fiscais”. Qual é a ideia geral?</w:t>
      </w:r>
    </w:p>
    <w:p w14:paraId="3EFD274E" w14:textId="47F06321" w:rsidR="00A34CE6" w:rsidRPr="006C6865" w:rsidRDefault="00A34CE6" w:rsidP="00A34CE6">
      <w:pPr>
        <w:spacing w:after="0" w:line="360" w:lineRule="auto"/>
        <w:jc w:val="both"/>
        <w:rPr>
          <w:rFonts w:ascii="Garamond" w:eastAsia="Times New Roman" w:hAnsi="Garamond" w:cs="Times New Roman"/>
          <w:sz w:val="24"/>
          <w:szCs w:val="24"/>
          <w:lang w:val="pt-BR" w:eastAsia="en-GB"/>
        </w:rPr>
      </w:pPr>
      <w:r w:rsidRPr="006C6865">
        <w:rPr>
          <w:rFonts w:ascii="Garamond" w:eastAsia="Times New Roman" w:hAnsi="Garamond" w:cs="Times New Roman"/>
          <w:b/>
          <w:bCs/>
          <w:sz w:val="24"/>
          <w:szCs w:val="24"/>
          <w:lang w:val="pt-BR" w:eastAsia="en-GB"/>
        </w:rPr>
        <w:t>Resposta:</w:t>
      </w:r>
      <w:r w:rsidRPr="006C6865">
        <w:rPr>
          <w:rFonts w:ascii="Garamond" w:eastAsia="Times New Roman" w:hAnsi="Garamond" w:cs="Times New Roman"/>
          <w:sz w:val="24"/>
          <w:szCs w:val="24"/>
          <w:lang w:val="pt-BR" w:eastAsia="en-GB"/>
        </w:rPr>
        <w:t xml:space="preserve"> O IVA enfrenta o problema da “última milha”. Ou seja, a propriedade de auto-fiscalização do IVA quebra-se na etapa do consumidor final. Normalmente, não há benefício para os consumidores em pedir um recibo. Como os consumidores não pedem um recibo, há um incentivo para que as empresas não emitam um recibo e sub-relatem receitas de vendas para consumidores finais. O NFP introduz um incentivo monetário para os consumidores pedirem um recibo: um bilhete de loteria com o qual podem ganhar prémios monetários.</w:t>
      </w:r>
    </w:p>
    <w:p w14:paraId="77FF3F4C" w14:textId="77777777" w:rsidR="00A34CE6" w:rsidRPr="006C6865" w:rsidRDefault="00A34CE6" w:rsidP="00A34CE6">
      <w:pPr>
        <w:spacing w:after="0" w:line="360" w:lineRule="auto"/>
        <w:jc w:val="both"/>
        <w:rPr>
          <w:rFonts w:ascii="Garamond" w:eastAsia="Times New Roman" w:hAnsi="Garamond" w:cs="Times New Roman"/>
          <w:sz w:val="24"/>
          <w:szCs w:val="24"/>
          <w:lang w:val="pt-BR" w:eastAsia="en-GB"/>
        </w:rPr>
      </w:pPr>
    </w:p>
    <w:p w14:paraId="67F8C0E8" w14:textId="77777777" w:rsidR="00A848B1" w:rsidRDefault="00A34CE6" w:rsidP="00A34CE6">
      <w:pPr>
        <w:spacing w:after="0" w:line="360" w:lineRule="auto"/>
        <w:jc w:val="both"/>
        <w:rPr>
          <w:rFonts w:ascii="Garamond" w:eastAsia="Times New Roman" w:hAnsi="Garamond" w:cs="Times New Roman"/>
          <w:sz w:val="24"/>
          <w:szCs w:val="24"/>
          <w:lang w:val="pt-BR" w:eastAsia="en-GB"/>
        </w:rPr>
      </w:pPr>
      <w:r w:rsidRPr="006C6865">
        <w:rPr>
          <w:rFonts w:ascii="Garamond" w:eastAsia="Times New Roman" w:hAnsi="Garamond" w:cs="Times New Roman"/>
          <w:sz w:val="24"/>
          <w:szCs w:val="24"/>
          <w:lang w:val="pt-BR" w:eastAsia="en-GB"/>
        </w:rPr>
        <w:t>b) Explique como o artigo identifica o impacto do programa NFP sobre as receitas das empresas reportadas usando dados setoriais.</w:t>
      </w:r>
    </w:p>
    <w:p w14:paraId="1F890962" w14:textId="4D0D7FFD" w:rsidR="00A34CE6" w:rsidRPr="006C6865" w:rsidRDefault="00A34CE6" w:rsidP="00A34CE6">
      <w:pPr>
        <w:spacing w:after="0" w:line="360" w:lineRule="auto"/>
        <w:jc w:val="both"/>
        <w:rPr>
          <w:rFonts w:ascii="Garamond" w:eastAsia="Times New Roman" w:hAnsi="Garamond" w:cs="Times New Roman"/>
          <w:sz w:val="24"/>
          <w:szCs w:val="24"/>
          <w:lang w:val="pt-BR" w:eastAsia="en-GB"/>
        </w:rPr>
      </w:pPr>
      <w:r w:rsidRPr="006C6865">
        <w:rPr>
          <w:rFonts w:ascii="Garamond" w:eastAsia="Times New Roman" w:hAnsi="Garamond" w:cs="Times New Roman"/>
          <w:b/>
          <w:bCs/>
          <w:sz w:val="24"/>
          <w:szCs w:val="24"/>
          <w:lang w:val="pt-BR" w:eastAsia="en-GB"/>
        </w:rPr>
        <w:t>Resposta:</w:t>
      </w:r>
      <w:r w:rsidRPr="006C6865">
        <w:rPr>
          <w:rFonts w:ascii="Garamond" w:eastAsia="Times New Roman" w:hAnsi="Garamond" w:cs="Times New Roman"/>
          <w:sz w:val="24"/>
          <w:szCs w:val="24"/>
          <w:lang w:val="pt-BR" w:eastAsia="en-GB"/>
        </w:rPr>
        <w:t xml:space="preserve"> Embora o programa NFP trate todos os </w:t>
      </w:r>
      <w:r w:rsidR="003211CC" w:rsidRPr="006C6865">
        <w:rPr>
          <w:rFonts w:ascii="Garamond" w:eastAsia="Times New Roman" w:hAnsi="Garamond" w:cs="Times New Roman"/>
          <w:sz w:val="24"/>
          <w:szCs w:val="24"/>
          <w:lang w:val="pt-BR" w:eastAsia="en-GB"/>
        </w:rPr>
        <w:t>agentes</w:t>
      </w:r>
      <w:r w:rsidRPr="006C6865">
        <w:rPr>
          <w:rFonts w:ascii="Garamond" w:eastAsia="Times New Roman" w:hAnsi="Garamond" w:cs="Times New Roman"/>
          <w:sz w:val="24"/>
          <w:szCs w:val="24"/>
          <w:lang w:val="pt-BR" w:eastAsia="en-GB"/>
        </w:rPr>
        <w:t xml:space="preserve"> de forma igual, os contribuintes são afetados de forma diferente pelo programa. O artigo explora o facto de que empresas grossistas (que vendem principalmente para outras empresas) são menos afetadas pelo programa NFP do que empresas retalhistas (que vendem principalmente para consumidores). Naritomi usa uma análise de diferenças-em-diferenças para investigar as diferenças nas mudanças de receitas reportadas entre empresas retalhistas e grossistas.</w:t>
      </w:r>
    </w:p>
    <w:p w14:paraId="72CC9679" w14:textId="77777777" w:rsidR="00A34CE6" w:rsidRPr="006C6865" w:rsidRDefault="00A34CE6" w:rsidP="00A34CE6">
      <w:pPr>
        <w:spacing w:after="0" w:line="360" w:lineRule="auto"/>
        <w:jc w:val="both"/>
        <w:rPr>
          <w:rFonts w:ascii="Garamond" w:eastAsia="Times New Roman" w:hAnsi="Garamond" w:cs="Times New Roman"/>
          <w:sz w:val="24"/>
          <w:szCs w:val="24"/>
          <w:lang w:val="pt-BR" w:eastAsia="en-GB"/>
        </w:rPr>
      </w:pPr>
    </w:p>
    <w:p w14:paraId="3C444CCB" w14:textId="77777777" w:rsidR="00A848B1" w:rsidRDefault="00A34CE6" w:rsidP="00A34CE6">
      <w:pPr>
        <w:spacing w:after="0" w:line="360" w:lineRule="auto"/>
        <w:jc w:val="both"/>
        <w:rPr>
          <w:rFonts w:ascii="Garamond" w:eastAsia="Times New Roman" w:hAnsi="Garamond" w:cs="Times New Roman"/>
          <w:sz w:val="24"/>
          <w:szCs w:val="24"/>
          <w:lang w:val="pt-BR" w:eastAsia="en-GB"/>
        </w:rPr>
      </w:pPr>
      <w:r w:rsidRPr="006C6865">
        <w:rPr>
          <w:rFonts w:ascii="Garamond" w:eastAsia="Times New Roman" w:hAnsi="Garamond" w:cs="Times New Roman"/>
          <w:sz w:val="24"/>
          <w:szCs w:val="24"/>
          <w:lang w:val="pt-BR" w:eastAsia="en-GB"/>
        </w:rPr>
        <w:t>c) Quais são as hipóteses de identificação? Essas hipóteses são plausíveis no contexto estudado? Qual é a principal preocupação em relação à estratégia de identificação?</w:t>
      </w:r>
    </w:p>
    <w:p w14:paraId="095364AE" w14:textId="2342E5DC" w:rsidR="00A34CE6" w:rsidRPr="00A34CE6" w:rsidRDefault="00A34CE6" w:rsidP="00A34CE6">
      <w:pPr>
        <w:spacing w:after="0" w:line="360" w:lineRule="auto"/>
        <w:jc w:val="both"/>
        <w:rPr>
          <w:rFonts w:ascii="Garamond" w:eastAsia="Times New Roman" w:hAnsi="Garamond" w:cs="Times New Roman"/>
          <w:sz w:val="24"/>
          <w:szCs w:val="24"/>
          <w:lang w:val="en-GB" w:eastAsia="en-GB"/>
        </w:rPr>
      </w:pPr>
      <w:r w:rsidRPr="00A34CE6">
        <w:rPr>
          <w:rFonts w:ascii="Garamond" w:eastAsia="Times New Roman" w:hAnsi="Garamond" w:cs="Times New Roman"/>
          <w:b/>
          <w:bCs/>
          <w:sz w:val="24"/>
          <w:szCs w:val="24"/>
          <w:lang w:val="en-GB" w:eastAsia="en-GB"/>
        </w:rPr>
        <w:t>Resposta:</w:t>
      </w:r>
    </w:p>
    <w:p w14:paraId="5F4A26D3" w14:textId="77777777" w:rsidR="00A34CE6" w:rsidRPr="006C6865" w:rsidRDefault="00A34CE6" w:rsidP="00A34CE6">
      <w:pPr>
        <w:numPr>
          <w:ilvl w:val="0"/>
          <w:numId w:val="3"/>
        </w:numPr>
        <w:spacing w:after="0" w:line="360" w:lineRule="auto"/>
        <w:jc w:val="both"/>
        <w:rPr>
          <w:rFonts w:ascii="Garamond" w:eastAsia="Times New Roman" w:hAnsi="Garamond" w:cs="Times New Roman"/>
          <w:sz w:val="24"/>
          <w:szCs w:val="24"/>
          <w:lang w:val="pt-BR" w:eastAsia="en-GB"/>
        </w:rPr>
      </w:pPr>
      <w:r w:rsidRPr="006C6865">
        <w:rPr>
          <w:rFonts w:ascii="Garamond" w:eastAsia="Times New Roman" w:hAnsi="Garamond" w:cs="Times New Roman"/>
          <w:sz w:val="24"/>
          <w:szCs w:val="24"/>
          <w:lang w:val="pt-BR" w:eastAsia="en-GB"/>
        </w:rPr>
        <w:t>Suposição de tendência paralela -&gt; A Figura 2 (painel esquerdo) mostra que as mudanças de receitas reportadas acompanham-se de perto até a implementação do NFP (exceto por padrões de sazonalidade ligeiramente diferentes; a série temporal de retalho exibe picos em dezembro).</w:t>
      </w:r>
    </w:p>
    <w:p w14:paraId="3AC04EA9" w14:textId="77777777" w:rsidR="00A34CE6" w:rsidRPr="006C6865" w:rsidRDefault="00A34CE6" w:rsidP="00A34CE6">
      <w:pPr>
        <w:numPr>
          <w:ilvl w:val="0"/>
          <w:numId w:val="3"/>
        </w:numPr>
        <w:spacing w:after="0" w:line="360" w:lineRule="auto"/>
        <w:jc w:val="both"/>
        <w:rPr>
          <w:rFonts w:ascii="Garamond" w:eastAsia="Times New Roman" w:hAnsi="Garamond" w:cs="Times New Roman"/>
          <w:sz w:val="24"/>
          <w:szCs w:val="24"/>
          <w:lang w:val="pt-BR" w:eastAsia="en-GB"/>
        </w:rPr>
      </w:pPr>
      <w:r w:rsidRPr="006C6865">
        <w:rPr>
          <w:rFonts w:ascii="Garamond" w:eastAsia="Times New Roman" w:hAnsi="Garamond" w:cs="Times New Roman"/>
          <w:sz w:val="24"/>
          <w:szCs w:val="24"/>
          <w:lang w:val="pt-BR" w:eastAsia="en-GB"/>
        </w:rPr>
        <w:lastRenderedPageBreak/>
        <w:t>Nenhum choque que afete heterogeneamente empresas de retalho e grossistas. -&gt; Difícil de testar, sem indicação de tais choques heterogéneos.</w:t>
      </w:r>
    </w:p>
    <w:p w14:paraId="5EA1D6E4" w14:textId="1866A107" w:rsidR="00A34CE6" w:rsidRPr="009934B1" w:rsidRDefault="00A34CE6" w:rsidP="009934B1">
      <w:pPr>
        <w:numPr>
          <w:ilvl w:val="0"/>
          <w:numId w:val="3"/>
        </w:numPr>
        <w:spacing w:after="0" w:line="360" w:lineRule="auto"/>
        <w:jc w:val="both"/>
        <w:rPr>
          <w:rFonts w:ascii="Garamond" w:eastAsia="Times New Roman" w:hAnsi="Garamond" w:cs="Times New Roman"/>
          <w:sz w:val="24"/>
          <w:szCs w:val="24"/>
          <w:lang w:val="pt-BR" w:eastAsia="en-GB"/>
        </w:rPr>
      </w:pPr>
      <w:r w:rsidRPr="006C6865">
        <w:rPr>
          <w:rFonts w:ascii="Garamond" w:eastAsia="Times New Roman" w:hAnsi="Garamond" w:cs="Times New Roman"/>
          <w:sz w:val="24"/>
          <w:szCs w:val="24"/>
          <w:lang w:val="pt-BR" w:eastAsia="en-GB"/>
        </w:rPr>
        <w:t>Nenhuma seleção no tratamento. -&gt; Improvável que uma empresa tenha escolhido o seu tipo de negócio e tipo de cliente em antecipação à política.</w:t>
      </w:r>
      <w:r w:rsidRPr="006C6865">
        <w:rPr>
          <w:rFonts w:ascii="Garamond" w:eastAsia="Times New Roman" w:hAnsi="Garamond" w:cs="Times New Roman"/>
          <w:sz w:val="24"/>
          <w:szCs w:val="24"/>
          <w:lang w:val="pt-BR" w:eastAsia="en-GB"/>
        </w:rPr>
        <w:br/>
      </w:r>
      <w:r w:rsidRPr="006C6865">
        <w:rPr>
          <w:rFonts w:ascii="Garamond" w:eastAsia="Times New Roman" w:hAnsi="Garamond" w:cs="Times New Roman"/>
          <w:b/>
          <w:bCs/>
          <w:sz w:val="24"/>
          <w:szCs w:val="24"/>
          <w:lang w:val="pt-BR" w:eastAsia="en-GB"/>
        </w:rPr>
        <w:t>Preocupação com DD:</w:t>
      </w:r>
      <w:r w:rsidRPr="006C6865">
        <w:rPr>
          <w:rFonts w:ascii="Garamond" w:eastAsia="Times New Roman" w:hAnsi="Garamond" w:cs="Times New Roman"/>
          <w:sz w:val="24"/>
          <w:szCs w:val="24"/>
          <w:lang w:val="pt-BR" w:eastAsia="en-GB"/>
        </w:rPr>
        <w:t xml:space="preserve"> grossistas também vendem para consumidores. Se esses consumidores se habituaram a pedir recibos, os grossistas também recebem mais pedidos de recibos (controlo parcialmente tratado).</w:t>
      </w:r>
    </w:p>
    <w:p w14:paraId="792AFE19" w14:textId="77777777" w:rsidR="00A34CE6" w:rsidRPr="006C6865" w:rsidRDefault="00A34CE6" w:rsidP="00A34CE6">
      <w:pPr>
        <w:spacing w:after="0" w:line="360" w:lineRule="auto"/>
        <w:jc w:val="both"/>
        <w:rPr>
          <w:rFonts w:ascii="Garamond" w:hAnsi="Garamond"/>
          <w:sz w:val="24"/>
          <w:szCs w:val="24"/>
          <w:lang w:val="pt-BR"/>
        </w:rPr>
      </w:pPr>
    </w:p>
    <w:p w14:paraId="0C3F930A" w14:textId="17283043" w:rsidR="009934B1" w:rsidRPr="009934B1" w:rsidRDefault="009934B1" w:rsidP="009934B1">
      <w:pPr>
        <w:pStyle w:val="ListParagraph"/>
        <w:numPr>
          <w:ilvl w:val="0"/>
          <w:numId w:val="2"/>
        </w:numPr>
        <w:spacing w:before="100" w:beforeAutospacing="1" w:after="100" w:afterAutospacing="1" w:line="240" w:lineRule="auto"/>
        <w:jc w:val="both"/>
        <w:rPr>
          <w:rFonts w:ascii="Garamond" w:eastAsia="Times New Roman" w:hAnsi="Garamond" w:cs="Times New Roman"/>
          <w:sz w:val="24"/>
          <w:szCs w:val="24"/>
          <w:lang w:val="en-GB" w:eastAsia="en-GB"/>
        </w:rPr>
      </w:pPr>
      <w:r w:rsidRPr="009934B1">
        <w:rPr>
          <w:rFonts w:ascii="Garamond" w:eastAsia="Times New Roman" w:hAnsi="Garamond" w:cs="Times New Roman"/>
          <w:sz w:val="24"/>
          <w:szCs w:val="24"/>
          <w:lang w:val="pt-BR" w:eastAsia="en-GB"/>
        </w:rPr>
        <w:t xml:space="preserve">Com as informações fornecidas na tabela, estime o valor de imposto que seria pago por um indivíduo com um rendimento anual de 20.000 €. </w:t>
      </w:r>
      <w:r w:rsidRPr="009934B1">
        <w:rPr>
          <w:rFonts w:ascii="Garamond" w:eastAsia="Times New Roman" w:hAnsi="Garamond" w:cs="Times New Roman"/>
          <w:sz w:val="24"/>
          <w:szCs w:val="24"/>
          <w:lang w:val="en-GB" w:eastAsia="en-GB"/>
        </w:rPr>
        <w:t xml:space="preserve">Qual seria a taxa média neste caso? </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4521"/>
        <w:gridCol w:w="4505"/>
      </w:tblGrid>
      <w:tr w:rsidR="009934B1" w:rsidRPr="00FB46EE" w14:paraId="2305EAED" w14:textId="77777777" w:rsidTr="00820F2B">
        <w:trPr>
          <w:jc w:val="center"/>
        </w:trPr>
        <w:tc>
          <w:tcPr>
            <w:tcW w:w="4521" w:type="dxa"/>
          </w:tcPr>
          <w:p w14:paraId="7DF8A7D1" w14:textId="77777777" w:rsidR="009934B1" w:rsidRPr="00FB46EE" w:rsidRDefault="009934B1" w:rsidP="00820F2B">
            <w:pPr>
              <w:jc w:val="center"/>
              <w:rPr>
                <w:rFonts w:ascii="Garamond" w:hAnsi="Garamond"/>
                <w:b/>
                <w:bCs/>
                <w:sz w:val="24"/>
                <w:szCs w:val="24"/>
              </w:rPr>
            </w:pPr>
            <w:r w:rsidRPr="00FB46EE">
              <w:rPr>
                <w:rFonts w:ascii="Garamond" w:hAnsi="Garamond"/>
                <w:b/>
                <w:bCs/>
                <w:sz w:val="24"/>
                <w:szCs w:val="24"/>
              </w:rPr>
              <w:t>Rendimento Anual</w:t>
            </w:r>
          </w:p>
        </w:tc>
        <w:tc>
          <w:tcPr>
            <w:tcW w:w="4505" w:type="dxa"/>
          </w:tcPr>
          <w:p w14:paraId="474AFE2D" w14:textId="77777777" w:rsidR="009934B1" w:rsidRPr="00FB46EE" w:rsidRDefault="009934B1" w:rsidP="00820F2B">
            <w:pPr>
              <w:jc w:val="center"/>
              <w:rPr>
                <w:rFonts w:ascii="Garamond" w:hAnsi="Garamond"/>
                <w:b/>
                <w:bCs/>
                <w:sz w:val="24"/>
                <w:szCs w:val="24"/>
              </w:rPr>
            </w:pPr>
            <w:r w:rsidRPr="00FB46EE">
              <w:rPr>
                <w:rFonts w:ascii="Garamond" w:hAnsi="Garamond"/>
                <w:b/>
                <w:bCs/>
                <w:sz w:val="24"/>
                <w:szCs w:val="24"/>
              </w:rPr>
              <w:t>Taxa de Imposto Marginal</w:t>
            </w:r>
          </w:p>
        </w:tc>
      </w:tr>
      <w:tr w:rsidR="009934B1" w:rsidRPr="00FB46EE" w14:paraId="2D1D5502" w14:textId="77777777" w:rsidTr="00820F2B">
        <w:trPr>
          <w:jc w:val="center"/>
        </w:trPr>
        <w:tc>
          <w:tcPr>
            <w:tcW w:w="4521" w:type="dxa"/>
          </w:tcPr>
          <w:p w14:paraId="35125320" w14:textId="77777777" w:rsidR="009934B1" w:rsidRPr="00FB46EE" w:rsidRDefault="009934B1" w:rsidP="00820F2B">
            <w:pPr>
              <w:jc w:val="center"/>
              <w:rPr>
                <w:rFonts w:ascii="Garamond" w:hAnsi="Garamond"/>
                <w:sz w:val="24"/>
                <w:szCs w:val="24"/>
              </w:rPr>
            </w:pPr>
            <w:r w:rsidRPr="00FB46EE">
              <w:rPr>
                <w:rFonts w:ascii="Garamond" w:hAnsi="Garamond"/>
                <w:sz w:val="24"/>
                <w:szCs w:val="24"/>
              </w:rPr>
              <w:t>0-10000 €</w:t>
            </w:r>
          </w:p>
        </w:tc>
        <w:tc>
          <w:tcPr>
            <w:tcW w:w="4505" w:type="dxa"/>
          </w:tcPr>
          <w:p w14:paraId="1B0BC1FA" w14:textId="77777777" w:rsidR="009934B1" w:rsidRPr="00FB46EE" w:rsidRDefault="009934B1" w:rsidP="00820F2B">
            <w:pPr>
              <w:jc w:val="center"/>
              <w:rPr>
                <w:rFonts w:ascii="Garamond" w:hAnsi="Garamond"/>
                <w:sz w:val="24"/>
                <w:szCs w:val="24"/>
              </w:rPr>
            </w:pPr>
            <w:r w:rsidRPr="00FB46EE">
              <w:rPr>
                <w:rFonts w:ascii="Garamond" w:hAnsi="Garamond"/>
                <w:sz w:val="24"/>
                <w:szCs w:val="24"/>
              </w:rPr>
              <w:t>0%</w:t>
            </w:r>
          </w:p>
        </w:tc>
      </w:tr>
      <w:tr w:rsidR="009934B1" w:rsidRPr="00FB46EE" w14:paraId="46A45531" w14:textId="77777777" w:rsidTr="00820F2B">
        <w:trPr>
          <w:jc w:val="center"/>
        </w:trPr>
        <w:tc>
          <w:tcPr>
            <w:tcW w:w="4521" w:type="dxa"/>
          </w:tcPr>
          <w:p w14:paraId="5953089D" w14:textId="77777777" w:rsidR="009934B1" w:rsidRPr="00FB46EE" w:rsidRDefault="009934B1" w:rsidP="00820F2B">
            <w:pPr>
              <w:jc w:val="center"/>
              <w:rPr>
                <w:rFonts w:ascii="Garamond" w:hAnsi="Garamond"/>
                <w:sz w:val="24"/>
                <w:szCs w:val="24"/>
              </w:rPr>
            </w:pPr>
            <w:r>
              <w:rPr>
                <w:rFonts w:ascii="Garamond" w:hAnsi="Garamond"/>
                <w:sz w:val="24"/>
                <w:szCs w:val="24"/>
              </w:rPr>
              <w:t>1000</w:t>
            </w:r>
            <w:r w:rsidRPr="00FB46EE">
              <w:rPr>
                <w:rFonts w:ascii="Garamond" w:hAnsi="Garamond"/>
                <w:sz w:val="24"/>
                <w:szCs w:val="24"/>
              </w:rPr>
              <w:t>0-30000 €</w:t>
            </w:r>
          </w:p>
        </w:tc>
        <w:tc>
          <w:tcPr>
            <w:tcW w:w="4505" w:type="dxa"/>
          </w:tcPr>
          <w:p w14:paraId="617E5589" w14:textId="77777777" w:rsidR="009934B1" w:rsidRPr="00FB46EE" w:rsidRDefault="009934B1" w:rsidP="00820F2B">
            <w:pPr>
              <w:jc w:val="center"/>
              <w:rPr>
                <w:rFonts w:ascii="Garamond" w:hAnsi="Garamond"/>
                <w:sz w:val="24"/>
                <w:szCs w:val="24"/>
              </w:rPr>
            </w:pPr>
            <w:r w:rsidRPr="00FB46EE">
              <w:rPr>
                <w:rFonts w:ascii="Garamond" w:hAnsi="Garamond"/>
                <w:sz w:val="24"/>
                <w:szCs w:val="24"/>
              </w:rPr>
              <w:t>20%</w:t>
            </w:r>
          </w:p>
        </w:tc>
      </w:tr>
      <w:tr w:rsidR="009934B1" w:rsidRPr="00FB46EE" w14:paraId="73EE1AEE" w14:textId="77777777" w:rsidTr="00820F2B">
        <w:trPr>
          <w:jc w:val="center"/>
        </w:trPr>
        <w:tc>
          <w:tcPr>
            <w:tcW w:w="4521" w:type="dxa"/>
          </w:tcPr>
          <w:p w14:paraId="29650C46" w14:textId="77777777" w:rsidR="009934B1" w:rsidRPr="00FB46EE" w:rsidRDefault="009934B1" w:rsidP="00820F2B">
            <w:pPr>
              <w:jc w:val="center"/>
              <w:rPr>
                <w:rFonts w:ascii="Garamond" w:hAnsi="Garamond"/>
                <w:sz w:val="24"/>
                <w:szCs w:val="24"/>
              </w:rPr>
            </w:pPr>
            <w:r w:rsidRPr="00FB46EE">
              <w:rPr>
                <w:rFonts w:ascii="Garamond" w:hAnsi="Garamond"/>
                <w:sz w:val="24"/>
                <w:szCs w:val="24"/>
              </w:rPr>
              <w:t>+ 30000 €</w:t>
            </w:r>
          </w:p>
        </w:tc>
        <w:tc>
          <w:tcPr>
            <w:tcW w:w="4505" w:type="dxa"/>
          </w:tcPr>
          <w:p w14:paraId="24949A3F" w14:textId="77777777" w:rsidR="009934B1" w:rsidRPr="00FB46EE" w:rsidRDefault="009934B1" w:rsidP="00820F2B">
            <w:pPr>
              <w:jc w:val="center"/>
              <w:rPr>
                <w:rFonts w:ascii="Garamond" w:hAnsi="Garamond"/>
                <w:sz w:val="24"/>
                <w:szCs w:val="24"/>
              </w:rPr>
            </w:pPr>
            <w:r w:rsidRPr="00FB46EE">
              <w:rPr>
                <w:rFonts w:ascii="Garamond" w:hAnsi="Garamond"/>
                <w:sz w:val="24"/>
                <w:szCs w:val="24"/>
              </w:rPr>
              <w:t>40%</w:t>
            </w:r>
          </w:p>
        </w:tc>
      </w:tr>
    </w:tbl>
    <w:p w14:paraId="353368FC" w14:textId="01965042" w:rsidR="00A34CE6" w:rsidRPr="009934B1" w:rsidRDefault="00A34CE6" w:rsidP="009934B1">
      <w:pPr>
        <w:pStyle w:val="ListParagraph"/>
        <w:spacing w:after="0" w:line="360" w:lineRule="auto"/>
        <w:jc w:val="both"/>
        <w:rPr>
          <w:rFonts w:ascii="Garamond" w:hAnsi="Garamond"/>
          <w:sz w:val="24"/>
          <w:szCs w:val="24"/>
          <w:lang w:val="pt-BR"/>
        </w:rPr>
      </w:pPr>
    </w:p>
    <w:p w14:paraId="4E17397C" w14:textId="77777777" w:rsidR="00A34CE6" w:rsidRPr="006C6865" w:rsidRDefault="00A34CE6" w:rsidP="00A34CE6">
      <w:pPr>
        <w:spacing w:after="0" w:line="360" w:lineRule="auto"/>
        <w:rPr>
          <w:rFonts w:ascii="Garamond" w:hAnsi="Garamond"/>
          <w:sz w:val="24"/>
          <w:szCs w:val="24"/>
          <w:lang w:val="pt-BR"/>
        </w:rPr>
      </w:pPr>
    </w:p>
    <w:sectPr w:rsidR="00A34CE6" w:rsidRPr="006C68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7292A"/>
    <w:multiLevelType w:val="multilevel"/>
    <w:tmpl w:val="C1BC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C35DA2"/>
    <w:multiLevelType w:val="multilevel"/>
    <w:tmpl w:val="D66C6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125532"/>
    <w:multiLevelType w:val="multilevel"/>
    <w:tmpl w:val="38AC6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5774680">
    <w:abstractNumId w:val="2"/>
  </w:num>
  <w:num w:numId="2" w16cid:durableId="619384031">
    <w:abstractNumId w:val="1"/>
  </w:num>
  <w:num w:numId="3" w16cid:durableId="101414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CE6"/>
    <w:rsid w:val="000F47C0"/>
    <w:rsid w:val="001F1C47"/>
    <w:rsid w:val="003211CC"/>
    <w:rsid w:val="005F3B7D"/>
    <w:rsid w:val="006C6865"/>
    <w:rsid w:val="008B77F4"/>
    <w:rsid w:val="009934B1"/>
    <w:rsid w:val="00A34CE6"/>
    <w:rsid w:val="00A848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9F470"/>
  <w15:chartTrackingRefBased/>
  <w15:docId w15:val="{C5160CA1-C25A-4064-8F51-5F780208F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3">
    <w:name w:val="heading 3"/>
    <w:basedOn w:val="Normal"/>
    <w:link w:val="Heading3Char"/>
    <w:uiPriority w:val="9"/>
    <w:qFormat/>
    <w:rsid w:val="00A34CE6"/>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34CE6"/>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A34CE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A34CE6"/>
    <w:rPr>
      <w:b/>
      <w:bCs/>
    </w:rPr>
  </w:style>
  <w:style w:type="paragraph" w:styleId="ListParagraph">
    <w:name w:val="List Paragraph"/>
    <w:basedOn w:val="Normal"/>
    <w:uiPriority w:val="34"/>
    <w:qFormat/>
    <w:rsid w:val="00A34CE6"/>
    <w:pPr>
      <w:ind w:left="720"/>
      <w:contextualSpacing/>
    </w:pPr>
  </w:style>
  <w:style w:type="table" w:styleId="TableGrid">
    <w:name w:val="Table Grid"/>
    <w:basedOn w:val="TableNormal"/>
    <w:uiPriority w:val="39"/>
    <w:rsid w:val="009934B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46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1124</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Pereira dos Santos</dc:creator>
  <cp:keywords/>
  <dc:description/>
  <cp:lastModifiedBy>João Pereira dos Santos</cp:lastModifiedBy>
  <cp:revision>5</cp:revision>
  <dcterms:created xsi:type="dcterms:W3CDTF">2024-11-11T15:22:00Z</dcterms:created>
  <dcterms:modified xsi:type="dcterms:W3CDTF">2025-11-18T21:07:00Z</dcterms:modified>
</cp:coreProperties>
</file>